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50" w:rsidRPr="00D76B50" w:rsidRDefault="00D76B50" w:rsidP="00D76B50">
      <w:pPr>
        <w:shd w:val="clear" w:color="auto" w:fill="FFFFFF"/>
        <w:spacing w:before="100" w:beforeAutospacing="1" w:after="100" w:afterAutospacing="1" w:line="240" w:lineRule="auto"/>
        <w:outlineLvl w:val="0"/>
        <w:rPr>
          <w:rFonts w:ascii="Arial" w:eastAsia="Times New Roman" w:hAnsi="Arial" w:cs="Arial"/>
          <w:b/>
          <w:bCs/>
          <w:kern w:val="36"/>
          <w:sz w:val="48"/>
          <w:szCs w:val="48"/>
          <w:lang w:eastAsia="de-DE"/>
        </w:rPr>
      </w:pPr>
      <w:r w:rsidRPr="00D76B50">
        <w:rPr>
          <w:rFonts w:ascii="Arial" w:eastAsia="Times New Roman" w:hAnsi="Arial" w:cs="Arial"/>
          <w:b/>
          <w:bCs/>
          <w:kern w:val="36"/>
          <w:sz w:val="48"/>
          <w:szCs w:val="48"/>
          <w:lang w:eastAsia="de-DE"/>
        </w:rPr>
        <w:t>Allgemeine Vertragsbedingungen der DGP - Deutsche Gesellschaft zur Präqualifizierung im Gesundheitswesen mbH</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Gegenstand der nachfolgenden Vertragsbedingungen sind die durch die DGP</w:t>
      </w:r>
      <w:r w:rsidRPr="00D76B50">
        <w:rPr>
          <w:rFonts w:ascii="Arial" w:eastAsia="Times New Roman" w:hAnsi="Arial" w:cs="Arial"/>
          <w:sz w:val="15"/>
          <w:szCs w:val="15"/>
          <w:vertAlign w:val="subscript"/>
          <w:lang w:eastAsia="de-DE"/>
        </w:rPr>
        <w:t>®</w:t>
      </w:r>
      <w:r w:rsidRPr="00D76B50">
        <w:rPr>
          <w:rFonts w:ascii="Arial" w:eastAsia="Times New Roman" w:hAnsi="Arial" w:cs="Arial"/>
          <w:sz w:val="15"/>
          <w:szCs w:val="15"/>
          <w:lang w:eastAsia="de-DE"/>
        </w:rPr>
        <w:t xml:space="preserve"> angebotenen Dienstleistungen und die für die Durchführung des Präqualifizierungsverfahrens maßgebenden Vereinbarungen zwischen dem Kunden und uns, der Deutsche Gesellschaft zur Präqualifizierung im Gesundheitswesen mbH, Am Brambusch 24, 44536 Lünen (im folgenden DGP</w:t>
      </w:r>
      <w:r w:rsidRPr="00D76B50">
        <w:rPr>
          <w:rFonts w:ascii="Arial" w:eastAsia="Times New Roman" w:hAnsi="Arial" w:cs="Arial"/>
          <w:sz w:val="15"/>
          <w:szCs w:val="15"/>
          <w:vertAlign w:val="superscript"/>
          <w:lang w:eastAsia="de-DE"/>
        </w:rPr>
        <w:t>®</w:t>
      </w:r>
      <w:r w:rsidRPr="00D76B50">
        <w:rPr>
          <w:rFonts w:ascii="Arial" w:eastAsia="Times New Roman" w:hAnsi="Arial" w:cs="Arial"/>
          <w:sz w:val="15"/>
          <w:szCs w:val="15"/>
          <w:lang w:eastAsia="de-DE"/>
        </w:rPr>
        <w:t>). Hiervon abweichende Geschäftsbedingungen in Ihren Aufträgen/Auftragsbestätigungen werden nur Vertragsinhalt, wenn wir Ihre Geltung ausdrücklich schriftlich bestätigt haben.</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1. Beauftragung</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Die rechtsverbindliche Beauftragung erfolgt mit Eingang des elektronischen Auftragsformulars im Onlineportal der DGP</w:t>
      </w:r>
      <w:r w:rsidRPr="00D76B50">
        <w:rPr>
          <w:rFonts w:ascii="Arial" w:eastAsia="Times New Roman" w:hAnsi="Arial" w:cs="Arial"/>
          <w:sz w:val="15"/>
          <w:szCs w:val="15"/>
          <w:vertAlign w:val="superscript"/>
          <w:lang w:eastAsia="de-DE"/>
        </w:rPr>
        <w:t>®</w:t>
      </w:r>
      <w:r w:rsidRPr="00D76B50">
        <w:rPr>
          <w:rFonts w:ascii="Arial" w:eastAsia="Times New Roman" w:hAnsi="Arial" w:cs="Arial"/>
          <w:sz w:val="15"/>
          <w:szCs w:val="15"/>
          <w:lang w:eastAsia="de-DE"/>
        </w:rPr>
        <w:t>. Nach Eingang des Auftragsformulars erhalten Sie eine Bestätigungsemail über die erfolgte Beauftragung.</w:t>
      </w:r>
      <w:r w:rsidRPr="00D76B50">
        <w:rPr>
          <w:rFonts w:ascii="Arial" w:eastAsia="Times New Roman" w:hAnsi="Arial" w:cs="Arial"/>
          <w:sz w:val="15"/>
          <w:szCs w:val="15"/>
          <w:lang w:eastAsia="de-DE"/>
        </w:rPr>
        <w:br/>
        <w:t>Bei mehr als 10 Betriebsstätten, die präqualifiziert werden sollen, kann eine individuelle Vereinbarung erfolgen. In diesem Fall gelten die individuell vereinbarten Regelungen vorrangig.</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2. Ausführungsfristen</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Die Ausführungsfristen richten sich nach den Bestimmungen der Vereinbarungen zwischen dem Spitzenverband Bund der Krankenkassen und den Spitzenverbänden der Leistungserbringer in der jeweils geltenden Fassung.</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 xml:space="preserve"> Abweichende kürzere Ausführungsfristen sind nur verbindlich, wenn wir sie schriftlich bestätigt haben.</w:t>
      </w:r>
      <w:r w:rsidRPr="00D76B50">
        <w:rPr>
          <w:rFonts w:ascii="MS Gothic" w:eastAsia="MS Gothic" w:hAnsi="MS Gothic" w:cs="MS Gothic"/>
          <w:sz w:val="15"/>
          <w:szCs w:val="15"/>
          <w:lang w:eastAsia="de-DE"/>
        </w:rPr>
        <w:t> </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Nach Freigabe zur Prüfung der im Portal hochgeladenen Nachweisdokumente prüfen wir innerhalb einer Frist von zehn Tagen, ob alle für die Präqualifizierung notwendigen Nachweise vollständig vorliegen.</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Sollte dies nicht der Fall sein, erhalten Sie binnen der zehn Tage von uns eine E-Mail mit der Benennung der fehlenden Nachweise und der Aufforderung, innerhalb  einer Frist von acht Wochen ab Freigabedatum die fehlenden bzw. korrekten Nachweise zu erbringen. Diese Frist kann  auf Antrag höchstens zweimal verlängert werden.</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 xml:space="preserve">Soweit alle Unterlagen vollständig und inhaltlich mit allen notwendigen Nachweisen in korrekter Form vorliegen und keine Nachfragen erforderlich sind, erhalten sie im </w:t>
      </w:r>
      <w:proofErr w:type="gramStart"/>
      <w:r w:rsidRPr="00D76B50">
        <w:rPr>
          <w:rFonts w:ascii="Arial" w:eastAsia="Times New Roman" w:hAnsi="Arial" w:cs="Arial"/>
          <w:sz w:val="15"/>
          <w:szCs w:val="15"/>
          <w:lang w:eastAsia="de-DE"/>
        </w:rPr>
        <w:t>Regelfall ,</w:t>
      </w:r>
      <w:proofErr w:type="gramEnd"/>
      <w:r w:rsidRPr="00D76B50">
        <w:rPr>
          <w:rFonts w:ascii="Arial" w:eastAsia="Times New Roman" w:hAnsi="Arial" w:cs="Arial"/>
          <w:sz w:val="15"/>
          <w:szCs w:val="15"/>
          <w:lang w:eastAsia="de-DE"/>
        </w:rPr>
        <w:t xml:space="preserve"> von uns binnen zehn Tagen ab Freigabe  die Präqualifizierungsurkunde.</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3. Preise und Zahlungsbedingungen</w:t>
      </w:r>
    </w:p>
    <w:p w:rsidR="00910016"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 xml:space="preserve">Wir berechnen die Leistungen nach unserer am Tag des Vertragsschlusses gültigen Leistungsbeschreibung und Preisliste, die sie auf unsere Homepage unter </w:t>
      </w:r>
      <w:hyperlink r:id="rId6" w:tooltip="DGP Preise und Zahlungsbedingungen" w:history="1">
        <w:r w:rsidRPr="00D76B50">
          <w:rPr>
            <w:rFonts w:ascii="Arial" w:eastAsia="Times New Roman" w:hAnsi="Arial" w:cs="Arial"/>
            <w:b/>
            <w:bCs/>
            <w:color w:val="CC6600"/>
            <w:sz w:val="15"/>
            <w:szCs w:val="15"/>
            <w:u w:val="single"/>
            <w:lang w:eastAsia="de-DE"/>
          </w:rPr>
          <w:t>www.dgp-gmbh.de</w:t>
        </w:r>
      </w:hyperlink>
      <w:r w:rsidRPr="00D76B50">
        <w:rPr>
          <w:rFonts w:ascii="Arial" w:eastAsia="Times New Roman" w:hAnsi="Arial" w:cs="Arial"/>
          <w:sz w:val="15"/>
          <w:szCs w:val="15"/>
          <w:lang w:eastAsia="de-DE"/>
        </w:rPr>
        <w:t xml:space="preserve"> finden.</w:t>
      </w:r>
    </w:p>
    <w:p w:rsid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3759BB">
        <w:rPr>
          <w:rFonts w:ascii="Arial" w:eastAsia="Times New Roman" w:hAnsi="Arial" w:cs="Arial"/>
          <w:sz w:val="15"/>
          <w:szCs w:val="15"/>
          <w:lang w:eastAsia="de-DE"/>
        </w:rPr>
        <w:t xml:space="preserve">Wir sind berechtigt, unsere Preisliste maximal ein Mal pro Quartal an sich verändernde </w:t>
      </w:r>
      <w:r w:rsidR="00C12151" w:rsidRPr="003759BB">
        <w:rPr>
          <w:rFonts w:ascii="Arial" w:eastAsia="Times New Roman" w:hAnsi="Arial" w:cs="Arial"/>
          <w:sz w:val="15"/>
          <w:szCs w:val="15"/>
          <w:lang w:eastAsia="de-DE"/>
        </w:rPr>
        <w:t xml:space="preserve">gesetzlichen Bedingungen, </w:t>
      </w:r>
      <w:r w:rsidRPr="003759BB">
        <w:rPr>
          <w:rFonts w:ascii="Arial" w:eastAsia="Times New Roman" w:hAnsi="Arial" w:cs="Arial"/>
          <w:sz w:val="15"/>
          <w:szCs w:val="15"/>
          <w:lang w:eastAsia="de-DE"/>
        </w:rPr>
        <w:t>Marktbedingungen</w:t>
      </w:r>
      <w:r w:rsidR="00C12151" w:rsidRPr="003759BB">
        <w:rPr>
          <w:rFonts w:ascii="Arial" w:eastAsia="Times New Roman" w:hAnsi="Arial" w:cs="Arial"/>
          <w:sz w:val="15"/>
          <w:szCs w:val="15"/>
          <w:lang w:eastAsia="de-DE"/>
        </w:rPr>
        <w:t>, wesen</w:t>
      </w:r>
      <w:r w:rsidR="003759BB">
        <w:rPr>
          <w:rFonts w:ascii="Arial" w:eastAsia="Times New Roman" w:hAnsi="Arial" w:cs="Arial"/>
          <w:sz w:val="15"/>
          <w:szCs w:val="15"/>
          <w:lang w:eastAsia="de-DE"/>
        </w:rPr>
        <w:t>tlichen Änderungen durch den GKV</w:t>
      </w:r>
      <w:r w:rsidR="00C12151" w:rsidRPr="003759BB">
        <w:rPr>
          <w:rFonts w:ascii="Arial" w:eastAsia="Times New Roman" w:hAnsi="Arial" w:cs="Arial"/>
          <w:sz w:val="15"/>
          <w:szCs w:val="15"/>
          <w:lang w:eastAsia="de-DE"/>
        </w:rPr>
        <w:t xml:space="preserve">-Spitzenverband, </w:t>
      </w:r>
      <w:r w:rsidRPr="003759BB">
        <w:rPr>
          <w:rFonts w:ascii="Arial" w:eastAsia="Times New Roman" w:hAnsi="Arial" w:cs="Arial"/>
          <w:sz w:val="15"/>
          <w:szCs w:val="15"/>
          <w:lang w:eastAsia="de-DE"/>
        </w:rPr>
        <w:t>bei erheblichen Veränderungen in den Beschaffungskosten, Änderungen der Umsatzsteuer oder der Beschaffungspreise, anzupassen. Bei Preiserhöhungen, die den regelmäßigen Anstieg der Lebenskosten wesentlich übersteigen, steht dem Kunden ein Kündigungsrecht zu. Dies wird dem Kunden in diesen Fällen in Textform durch uns mitgeteilt.</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Die erste Zahlung wird 10 Tage nach Versand der Rechnung  fällig. Die weiteren Zahlungen werden jeweils zum</w:t>
      </w:r>
      <w:r w:rsidR="00C12151">
        <w:rPr>
          <w:rFonts w:ascii="Arial" w:eastAsia="Times New Roman" w:hAnsi="Arial" w:cs="Arial"/>
          <w:sz w:val="15"/>
          <w:szCs w:val="15"/>
          <w:lang w:eastAsia="de-DE"/>
        </w:rPr>
        <w:t xml:space="preserve"> </w:t>
      </w:r>
      <w:r w:rsidRPr="00D76B50">
        <w:rPr>
          <w:rFonts w:ascii="Arial" w:eastAsia="Times New Roman" w:hAnsi="Arial" w:cs="Arial"/>
          <w:sz w:val="15"/>
          <w:szCs w:val="15"/>
          <w:lang w:eastAsia="de-DE"/>
        </w:rPr>
        <w:t xml:space="preserve"> 1. Werktag des Februars eines jeden Jahres fällig. Alle Vergütungen werden ausschließlich im Wege des Lastschriftverfahrens durch die DGP</w:t>
      </w:r>
      <w:r w:rsidRPr="00D76B50">
        <w:rPr>
          <w:rFonts w:ascii="Arial" w:eastAsia="Times New Roman" w:hAnsi="Arial" w:cs="Arial"/>
          <w:sz w:val="15"/>
          <w:szCs w:val="15"/>
          <w:vertAlign w:val="superscript"/>
          <w:lang w:eastAsia="de-DE"/>
        </w:rPr>
        <w:t xml:space="preserve">® </w:t>
      </w:r>
      <w:r w:rsidRPr="00D76B50">
        <w:rPr>
          <w:rFonts w:ascii="Arial" w:eastAsia="Times New Roman" w:hAnsi="Arial" w:cs="Arial"/>
          <w:sz w:val="15"/>
          <w:szCs w:val="15"/>
          <w:lang w:eastAsia="de-DE"/>
        </w:rPr>
        <w:t>eingezogen.</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 xml:space="preserve"> </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Soweit der Einzug der Vergütung aufgrund abweichender Vereinbarungen nicht im Wege des Lastschriftverfahrens eingezogen wird oder es zu Problemen im Lastschriftverfahren kommt, die nicht von der DGP</w:t>
      </w:r>
      <w:r w:rsidRPr="00D76B50">
        <w:rPr>
          <w:rFonts w:ascii="Arial" w:eastAsia="Times New Roman" w:hAnsi="Arial" w:cs="Arial"/>
          <w:sz w:val="15"/>
          <w:szCs w:val="15"/>
          <w:vertAlign w:val="superscript"/>
          <w:lang w:eastAsia="de-DE"/>
        </w:rPr>
        <w:t>®</w:t>
      </w:r>
      <w:r w:rsidRPr="00D76B50">
        <w:rPr>
          <w:rFonts w:ascii="Arial" w:eastAsia="Times New Roman" w:hAnsi="Arial" w:cs="Arial"/>
          <w:sz w:val="15"/>
          <w:szCs w:val="15"/>
          <w:lang w:eastAsia="de-DE"/>
        </w:rPr>
        <w:t xml:space="preserve"> zu vertreten sind, gilt folgendes:</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 xml:space="preserve"> Rechnungen sind innerhalb von 10 Tagen nach Fälligkeit und Rechnungsstellung zu zahlen. Erfolgt die Zahlung nicht innerhalb von 10 Tagen nach Fälligkeit und Zugang der Rechnung, so berechnet die DGP</w:t>
      </w:r>
      <w:r w:rsidRPr="00D76B50">
        <w:rPr>
          <w:rFonts w:ascii="Arial" w:eastAsia="Times New Roman" w:hAnsi="Arial" w:cs="Arial"/>
          <w:sz w:val="15"/>
          <w:szCs w:val="15"/>
          <w:vertAlign w:val="superscript"/>
          <w:lang w:eastAsia="de-DE"/>
        </w:rPr>
        <w:t>®</w:t>
      </w:r>
      <w:r w:rsidRPr="00D76B50">
        <w:rPr>
          <w:rFonts w:ascii="Arial" w:eastAsia="Times New Roman" w:hAnsi="Arial" w:cs="Arial"/>
          <w:sz w:val="15"/>
          <w:szCs w:val="15"/>
          <w:lang w:eastAsia="de-DE"/>
        </w:rPr>
        <w:t xml:space="preserve"> den gesetzlichen Verzugszins gem. § 288 BGB. </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 xml:space="preserve">Maßgeblich für den Zahlungszeitpunkt ist die </w:t>
      </w:r>
      <w:proofErr w:type="spellStart"/>
      <w:r w:rsidRPr="00D76B50">
        <w:rPr>
          <w:rFonts w:ascii="Arial" w:eastAsia="Times New Roman" w:hAnsi="Arial" w:cs="Arial"/>
          <w:sz w:val="15"/>
          <w:szCs w:val="15"/>
          <w:lang w:eastAsia="de-DE"/>
        </w:rPr>
        <w:t>valutarische</w:t>
      </w:r>
      <w:proofErr w:type="spellEnd"/>
      <w:r w:rsidRPr="00D76B50">
        <w:rPr>
          <w:rFonts w:ascii="Arial" w:eastAsia="Times New Roman" w:hAnsi="Arial" w:cs="Arial"/>
          <w:sz w:val="15"/>
          <w:szCs w:val="15"/>
          <w:lang w:eastAsia="de-DE"/>
        </w:rPr>
        <w:t xml:space="preserve"> Gutschrift.</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 xml:space="preserve"> Gegen unsere Forderungen können Sie nur mit einer von uns anerkannten oder rechtskräftig festgestellten Gegenforderung aufrechnen. Ein Zurückbehaltungsrecht können Sie uns gegenüber nur geltend machen, wenn es auf demselben Vertragsverhältnis beruht.</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Eine Rückerstattung gezahlter Vergütung/Gebühr bei vorzeitiger Beendigung des Verfahrens ist ausgeschlossen. Hiervon ausgenommen ist die Erstattung von Entgelten für geplante aber nicht durchgeführte Betriebsbegehungen.</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 xml:space="preserve"> Wird der Auftrag aus vom Kunden zu vertretenden Gründen vorzeitig beendet, ist er verpflichtet, das vereinbarte Entgelt in voller Höhe zu entrichten.</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4. Vertraulichkeit</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Die DGP</w:t>
      </w:r>
      <w:r w:rsidRPr="00D76B50">
        <w:rPr>
          <w:rFonts w:ascii="Arial" w:eastAsia="Times New Roman" w:hAnsi="Arial" w:cs="Arial"/>
          <w:sz w:val="15"/>
          <w:szCs w:val="15"/>
          <w:vertAlign w:val="superscript"/>
          <w:lang w:eastAsia="de-DE"/>
        </w:rPr>
        <w:t>®</w:t>
      </w:r>
      <w:r w:rsidRPr="00D76B50">
        <w:rPr>
          <w:rFonts w:ascii="Arial" w:eastAsia="Times New Roman" w:hAnsi="Arial" w:cs="Arial"/>
          <w:sz w:val="15"/>
          <w:szCs w:val="15"/>
          <w:lang w:eastAsia="de-DE"/>
        </w:rPr>
        <w:t xml:space="preserve"> GmbH und ihre Mitarbeiter sowie von ihr beauftragte Dritte sind zur Verschwiegenheit über alle ihnen durch den Auftrag zur Kenntnis gelangten Tatsachen verpflichtet. </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Die vom Kunden zur Verfügung gestellten Unterlagen und die zur Einsicht überlassen Urkunden dürfen zu den Akten genommen und ggf. kopiert werden. Die Akten dürfen nicht unbefugt offenbart oder verwertet werden. Alle Daten des Kunden werden nur zu dem vereinbarten Zweck erhoben, verarbeitet oder in sonstiger Weise genutzt.</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5. Haftung</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Für Schäden, die sich aus und im Zusammenhang mit der Beauftragung der DGP</w:t>
      </w:r>
      <w:r w:rsidRPr="00D76B50">
        <w:rPr>
          <w:rFonts w:ascii="Arial" w:eastAsia="Times New Roman" w:hAnsi="Arial" w:cs="Arial"/>
          <w:sz w:val="15"/>
          <w:szCs w:val="15"/>
          <w:vertAlign w:val="subscript"/>
          <w:lang w:eastAsia="de-DE"/>
        </w:rPr>
        <w:t>®</w:t>
      </w:r>
      <w:r w:rsidRPr="00D76B50">
        <w:rPr>
          <w:rFonts w:ascii="Arial" w:eastAsia="Times New Roman" w:hAnsi="Arial" w:cs="Arial"/>
          <w:sz w:val="15"/>
          <w:szCs w:val="15"/>
          <w:lang w:eastAsia="de-DE"/>
        </w:rPr>
        <w:t xml:space="preserve"> GmbH ergeben können, haftet die DGP</w:t>
      </w:r>
      <w:r w:rsidRPr="00D76B50">
        <w:rPr>
          <w:rFonts w:ascii="Arial" w:eastAsia="Times New Roman" w:hAnsi="Arial" w:cs="Arial"/>
          <w:sz w:val="15"/>
          <w:szCs w:val="15"/>
          <w:vertAlign w:val="subscript"/>
          <w:lang w:eastAsia="de-DE"/>
        </w:rPr>
        <w:t>®</w:t>
      </w:r>
      <w:r w:rsidRPr="00D76B50">
        <w:rPr>
          <w:rFonts w:ascii="Arial" w:eastAsia="Times New Roman" w:hAnsi="Arial" w:cs="Arial"/>
          <w:sz w:val="15"/>
          <w:szCs w:val="15"/>
          <w:lang w:eastAsia="de-DE"/>
        </w:rPr>
        <w:t xml:space="preserve"> GmbH nur bei Vorsatz oder grober Fahrlässigkeit.</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Im Übrigen ist unsere Haftung auf den Schaden begrenzt, der typischerweise bei einer Pflichtverletzung der fraglichen Art entsteht, maximal 100.000 Euro.</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 xml:space="preserve"> </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Diese Haftungsbeschränkungen gelten nicht für Schäden aus Verletzung des Lebens, des Körpers oder der Gesundheit des Kunden.</w:t>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 xml:space="preserve"> Die Haftungsbeschränkungen gelten auch hinsichtlich der persönlichen Haftung der Mitarbeiter der Deutschen Gesellschaft zur Präqualifizierung im Gesundheitswesen mbH sowie der von ihr beauftragten Dritten.</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6. Erfüllungsort</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Erfüllungsort für Leistungen und Zahlungen aus der Geschäftsbeziehung ist Lünen.</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7. Datenschutz</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Wir sind berechtigt, alle die Geschäftsbeziehungen mit Ihnen betreffenden Daten im Sinne des Bundesdatenschutzgesetzes zu speichern und zu verarbeiten.</w:t>
      </w:r>
    </w:p>
    <w:p w:rsidR="00D76B50" w:rsidRPr="00D76B50" w:rsidRDefault="00D76B50" w:rsidP="00D76B50">
      <w:pPr>
        <w:shd w:val="clear" w:color="auto" w:fill="FFFFFF"/>
        <w:spacing w:before="100" w:beforeAutospacing="1" w:after="100" w:afterAutospacing="1" w:line="240" w:lineRule="auto"/>
        <w:outlineLvl w:val="1"/>
        <w:rPr>
          <w:rFonts w:ascii="Arial" w:eastAsia="Times New Roman" w:hAnsi="Arial" w:cs="Arial"/>
          <w:b/>
          <w:bCs/>
          <w:sz w:val="36"/>
          <w:szCs w:val="36"/>
          <w:lang w:eastAsia="de-DE"/>
        </w:rPr>
      </w:pPr>
      <w:r w:rsidRPr="00D76B50">
        <w:rPr>
          <w:rFonts w:ascii="Arial" w:eastAsia="Times New Roman" w:hAnsi="Arial" w:cs="Arial"/>
          <w:b/>
          <w:bCs/>
          <w:sz w:val="36"/>
          <w:szCs w:val="36"/>
          <w:lang w:eastAsia="de-DE"/>
        </w:rPr>
        <w:t>8. Sonstiges</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Es gilt das Recht der Bundesrepublik Deutschland.</w:t>
      </w:r>
      <w:r w:rsidRPr="00D76B50">
        <w:rPr>
          <w:rFonts w:ascii="Arial" w:eastAsia="Times New Roman" w:hAnsi="Arial" w:cs="Arial"/>
          <w:sz w:val="15"/>
          <w:szCs w:val="15"/>
          <w:lang w:eastAsia="de-DE"/>
        </w:rPr>
        <w:br/>
      </w:r>
      <w:r w:rsidRPr="00D76B50">
        <w:rPr>
          <w:rFonts w:ascii="MS Gothic" w:eastAsia="MS Gothic" w:hAnsi="MS Gothic" w:cs="MS Gothic" w:hint="eastAsia"/>
          <w:sz w:val="15"/>
          <w:szCs w:val="15"/>
          <w:lang w:eastAsia="de-DE"/>
        </w:rPr>
        <w:t> </w:t>
      </w:r>
      <w:r w:rsidRPr="00D76B50">
        <w:rPr>
          <w:rFonts w:ascii="Arial" w:eastAsia="Times New Roman" w:hAnsi="Arial" w:cs="Arial"/>
          <w:sz w:val="15"/>
          <w:szCs w:val="15"/>
          <w:lang w:eastAsia="de-DE"/>
        </w:rPr>
        <w:t>Gerichtsstand für alle Streitigkeiten aus dem Vertragsverhältnis ist Lünen.</w:t>
      </w:r>
    </w:p>
    <w:p w:rsidR="00D76B50" w:rsidRPr="00D76B50" w:rsidRDefault="00D76B50" w:rsidP="00D76B50">
      <w:pPr>
        <w:shd w:val="clear" w:color="auto" w:fill="FFFFFF"/>
        <w:spacing w:before="100" w:beforeAutospacing="1" w:after="100" w:afterAutospacing="1" w:line="240" w:lineRule="auto"/>
        <w:rPr>
          <w:rFonts w:ascii="Arial" w:eastAsia="Times New Roman" w:hAnsi="Arial" w:cs="Arial"/>
          <w:sz w:val="15"/>
          <w:szCs w:val="15"/>
          <w:lang w:eastAsia="de-DE"/>
        </w:rPr>
      </w:pPr>
      <w:r w:rsidRPr="00D76B50">
        <w:rPr>
          <w:rFonts w:ascii="Arial" w:eastAsia="Times New Roman" w:hAnsi="Arial" w:cs="Arial"/>
          <w:sz w:val="15"/>
          <w:szCs w:val="15"/>
          <w:lang w:eastAsia="de-DE"/>
        </w:rPr>
        <w:t>DGP</w:t>
      </w:r>
      <w:r w:rsidRPr="00D76B50">
        <w:rPr>
          <w:rFonts w:ascii="Arial" w:eastAsia="Times New Roman" w:hAnsi="Arial" w:cs="Arial"/>
          <w:sz w:val="15"/>
          <w:szCs w:val="15"/>
          <w:vertAlign w:val="superscript"/>
          <w:lang w:eastAsia="de-DE"/>
        </w:rPr>
        <w:t>®</w:t>
      </w:r>
      <w:r w:rsidRPr="00D76B50">
        <w:rPr>
          <w:rFonts w:ascii="Arial" w:eastAsia="Times New Roman" w:hAnsi="Arial" w:cs="Arial"/>
          <w:sz w:val="15"/>
          <w:szCs w:val="15"/>
          <w:lang w:eastAsia="de-DE"/>
        </w:rPr>
        <w:t xml:space="preserve"> – Deutsche Gesellschaft zur Präqualifizierung im Gesundheitswesen – Stand </w:t>
      </w:r>
      <w:r>
        <w:rPr>
          <w:rFonts w:ascii="Arial" w:eastAsia="Times New Roman" w:hAnsi="Arial" w:cs="Arial"/>
          <w:sz w:val="15"/>
          <w:szCs w:val="15"/>
          <w:lang w:eastAsia="de-DE"/>
        </w:rPr>
        <w:t>Januar 2017</w:t>
      </w:r>
    </w:p>
    <w:p w:rsidR="004F38C1" w:rsidRDefault="004F38C1"/>
    <w:sectPr w:rsidR="004F3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50"/>
    <w:rsid w:val="002E0B0A"/>
    <w:rsid w:val="003759BB"/>
    <w:rsid w:val="004F38C1"/>
    <w:rsid w:val="00910016"/>
    <w:rsid w:val="00947DC8"/>
    <w:rsid w:val="00C12151"/>
    <w:rsid w:val="00D76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76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76B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6B5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76B5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76B5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76B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76B5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6B5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76B5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76B5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59903">
      <w:bodyDiv w:val="1"/>
      <w:marLeft w:val="0"/>
      <w:marRight w:val="0"/>
      <w:marTop w:val="0"/>
      <w:marBottom w:val="0"/>
      <w:divBdr>
        <w:top w:val="none" w:sz="0" w:space="0" w:color="auto"/>
        <w:left w:val="none" w:sz="0" w:space="0" w:color="auto"/>
        <w:bottom w:val="none" w:sz="0" w:space="0" w:color="auto"/>
        <w:right w:val="none" w:sz="0" w:space="0" w:color="auto"/>
      </w:divBdr>
      <w:divsChild>
        <w:div w:id="383524754">
          <w:marLeft w:val="0"/>
          <w:marRight w:val="0"/>
          <w:marTop w:val="0"/>
          <w:marBottom w:val="0"/>
          <w:divBdr>
            <w:top w:val="none" w:sz="0" w:space="0" w:color="auto"/>
            <w:left w:val="none" w:sz="0" w:space="0" w:color="auto"/>
            <w:bottom w:val="none" w:sz="0" w:space="0" w:color="auto"/>
            <w:right w:val="none" w:sz="0" w:space="0" w:color="auto"/>
          </w:divBdr>
          <w:divsChild>
            <w:div w:id="1382053386">
              <w:marLeft w:val="0"/>
              <w:marRight w:val="0"/>
              <w:marTop w:val="0"/>
              <w:marBottom w:val="0"/>
              <w:divBdr>
                <w:top w:val="none" w:sz="0" w:space="0" w:color="auto"/>
                <w:left w:val="none" w:sz="0" w:space="0" w:color="auto"/>
                <w:bottom w:val="none" w:sz="0" w:space="0" w:color="auto"/>
                <w:right w:val="none" w:sz="0" w:space="0" w:color="auto"/>
              </w:divBdr>
              <w:divsChild>
                <w:div w:id="1536388910">
                  <w:marLeft w:val="0"/>
                  <w:marRight w:val="0"/>
                  <w:marTop w:val="0"/>
                  <w:marBottom w:val="0"/>
                  <w:divBdr>
                    <w:top w:val="none" w:sz="0" w:space="0" w:color="auto"/>
                    <w:left w:val="none" w:sz="0" w:space="0" w:color="auto"/>
                    <w:bottom w:val="none" w:sz="0" w:space="0" w:color="auto"/>
                    <w:right w:val="none" w:sz="0" w:space="0" w:color="auto"/>
                  </w:divBdr>
                  <w:divsChild>
                    <w:div w:id="226456313">
                      <w:marLeft w:val="0"/>
                      <w:marRight w:val="0"/>
                      <w:marTop w:val="0"/>
                      <w:marBottom w:val="0"/>
                      <w:divBdr>
                        <w:top w:val="none" w:sz="0" w:space="0" w:color="auto"/>
                        <w:left w:val="none" w:sz="0" w:space="0" w:color="auto"/>
                        <w:bottom w:val="none" w:sz="0" w:space="0" w:color="auto"/>
                        <w:right w:val="none" w:sz="0" w:space="0" w:color="auto"/>
                      </w:divBdr>
                      <w:divsChild>
                        <w:div w:id="447163642">
                          <w:marLeft w:val="0"/>
                          <w:marRight w:val="0"/>
                          <w:marTop w:val="0"/>
                          <w:marBottom w:val="0"/>
                          <w:divBdr>
                            <w:top w:val="none" w:sz="0" w:space="0" w:color="auto"/>
                            <w:left w:val="none" w:sz="0" w:space="0" w:color="auto"/>
                            <w:bottom w:val="none" w:sz="0" w:space="0" w:color="auto"/>
                            <w:right w:val="none" w:sz="0" w:space="0" w:color="auto"/>
                          </w:divBdr>
                          <w:divsChild>
                            <w:div w:id="1493333534">
                              <w:marLeft w:val="0"/>
                              <w:marRight w:val="0"/>
                              <w:marTop w:val="0"/>
                              <w:marBottom w:val="360"/>
                              <w:divBdr>
                                <w:top w:val="none" w:sz="0" w:space="0" w:color="auto"/>
                                <w:left w:val="none" w:sz="0" w:space="0" w:color="auto"/>
                                <w:bottom w:val="none" w:sz="0" w:space="0" w:color="auto"/>
                                <w:right w:val="none" w:sz="0" w:space="0" w:color="auto"/>
                              </w:divBdr>
                            </w:div>
                            <w:div w:id="2025856850">
                              <w:marLeft w:val="0"/>
                              <w:marRight w:val="0"/>
                              <w:marTop w:val="0"/>
                              <w:marBottom w:val="360"/>
                              <w:divBdr>
                                <w:top w:val="none" w:sz="0" w:space="0" w:color="auto"/>
                                <w:left w:val="none" w:sz="0" w:space="0" w:color="auto"/>
                                <w:bottom w:val="none" w:sz="0" w:space="0" w:color="auto"/>
                                <w:right w:val="none" w:sz="0" w:space="0" w:color="auto"/>
                              </w:divBdr>
                            </w:div>
                            <w:div w:id="781531424">
                              <w:marLeft w:val="0"/>
                              <w:marRight w:val="0"/>
                              <w:marTop w:val="0"/>
                              <w:marBottom w:val="360"/>
                              <w:divBdr>
                                <w:top w:val="none" w:sz="0" w:space="0" w:color="auto"/>
                                <w:left w:val="none" w:sz="0" w:space="0" w:color="auto"/>
                                <w:bottom w:val="none" w:sz="0" w:space="0" w:color="auto"/>
                                <w:right w:val="none" w:sz="0" w:space="0" w:color="auto"/>
                              </w:divBdr>
                            </w:div>
                            <w:div w:id="720203604">
                              <w:marLeft w:val="0"/>
                              <w:marRight w:val="0"/>
                              <w:marTop w:val="0"/>
                              <w:marBottom w:val="360"/>
                              <w:divBdr>
                                <w:top w:val="none" w:sz="0" w:space="0" w:color="auto"/>
                                <w:left w:val="none" w:sz="0" w:space="0" w:color="auto"/>
                                <w:bottom w:val="none" w:sz="0" w:space="0" w:color="auto"/>
                                <w:right w:val="none" w:sz="0" w:space="0" w:color="auto"/>
                              </w:divBdr>
                            </w:div>
                            <w:div w:id="198326927">
                              <w:marLeft w:val="0"/>
                              <w:marRight w:val="0"/>
                              <w:marTop w:val="0"/>
                              <w:marBottom w:val="360"/>
                              <w:divBdr>
                                <w:top w:val="none" w:sz="0" w:space="0" w:color="auto"/>
                                <w:left w:val="none" w:sz="0" w:space="0" w:color="auto"/>
                                <w:bottom w:val="none" w:sz="0" w:space="0" w:color="auto"/>
                                <w:right w:val="none" w:sz="0" w:space="0" w:color="auto"/>
                              </w:divBdr>
                            </w:div>
                            <w:div w:id="376008927">
                              <w:marLeft w:val="0"/>
                              <w:marRight w:val="0"/>
                              <w:marTop w:val="0"/>
                              <w:marBottom w:val="360"/>
                              <w:divBdr>
                                <w:top w:val="none" w:sz="0" w:space="0" w:color="auto"/>
                                <w:left w:val="none" w:sz="0" w:space="0" w:color="auto"/>
                                <w:bottom w:val="none" w:sz="0" w:space="0" w:color="auto"/>
                                <w:right w:val="none" w:sz="0" w:space="0" w:color="auto"/>
                              </w:divBdr>
                            </w:div>
                            <w:div w:id="1413547521">
                              <w:marLeft w:val="0"/>
                              <w:marRight w:val="0"/>
                              <w:marTop w:val="0"/>
                              <w:marBottom w:val="360"/>
                              <w:divBdr>
                                <w:top w:val="none" w:sz="0" w:space="0" w:color="auto"/>
                                <w:left w:val="none" w:sz="0" w:space="0" w:color="auto"/>
                                <w:bottom w:val="none" w:sz="0" w:space="0" w:color="auto"/>
                                <w:right w:val="none" w:sz="0" w:space="0" w:color="auto"/>
                              </w:divBdr>
                            </w:div>
                            <w:div w:id="1650476936">
                              <w:marLeft w:val="0"/>
                              <w:marRight w:val="0"/>
                              <w:marTop w:val="0"/>
                              <w:marBottom w:val="360"/>
                              <w:divBdr>
                                <w:top w:val="none" w:sz="0" w:space="0" w:color="auto"/>
                                <w:left w:val="none" w:sz="0" w:space="0" w:color="auto"/>
                                <w:bottom w:val="none" w:sz="0" w:space="0" w:color="auto"/>
                                <w:right w:val="none" w:sz="0" w:space="0" w:color="auto"/>
                              </w:divBdr>
                            </w:div>
                            <w:div w:id="1017586481">
                              <w:marLeft w:val="0"/>
                              <w:marRight w:val="0"/>
                              <w:marTop w:val="0"/>
                              <w:marBottom w:val="360"/>
                              <w:divBdr>
                                <w:top w:val="none" w:sz="0" w:space="0" w:color="auto"/>
                                <w:left w:val="none" w:sz="0" w:space="0" w:color="auto"/>
                                <w:bottom w:val="none" w:sz="0" w:space="0" w:color="auto"/>
                                <w:right w:val="none" w:sz="0" w:space="0" w:color="auto"/>
                              </w:divBdr>
                            </w:div>
                            <w:div w:id="66042324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gp-gmbh.de/kosten.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53b893b4-a6d3-4ad0-9f36-c6b673b379c1</BSO999929>
</file>

<file path=customXml/itemProps1.xml><?xml version="1.0" encoding="utf-8"?>
<ds:datastoreItem xmlns:ds="http://schemas.openxmlformats.org/officeDocument/2006/customXml" ds:itemID="{7640AFDC-C31A-42AB-A477-C6E69D4960C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834</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Kranhold, Sandra</dc:creator>
  <cp:lastModifiedBy>Birgit Schulz</cp:lastModifiedBy>
  <cp:revision>2</cp:revision>
  <dcterms:created xsi:type="dcterms:W3CDTF">2017-11-29T15:29:00Z</dcterms:created>
  <dcterms:modified xsi:type="dcterms:W3CDTF">2017-11-29T15:29:00Z</dcterms:modified>
</cp:coreProperties>
</file>